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Принят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11.07.2011 </w:t>
      </w:r>
      <w:hyperlink r:id="rId7"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8"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0"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1"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2"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3"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5"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7"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8"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0"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введен Федеральным </w:t>
      </w:r>
      <w:hyperlink r:id="rId2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введен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Правовую основу противодействия коррупции составляют </w:t>
      </w:r>
      <w:hyperlink r:id="rId24"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веществ для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5"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8"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введен Федеральным </w:t>
      </w:r>
      <w:hyperlink r:id="rId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1"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совершенствование системы и структуры государственных органов, создание механизмов общественного контроля за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Pr>
          <w:rFonts w:ascii="Arial" w:eastAsiaTheme="minorHAnsi" w:hAnsi="Arial" w:cs="Arial"/>
          <w:sz w:val="20"/>
          <w:szCs w:val="20"/>
          <w:lang w:eastAsia="en-US"/>
        </w:rPr>
        <w:t>другими компетентными органами иностранных государств</w:t>
      </w:r>
      <w:proofErr w:type="gramEnd"/>
      <w:r>
        <w:rPr>
          <w:rFonts w:ascii="Arial" w:eastAsiaTheme="minorHAnsi" w:hAnsi="Arial" w:cs="Arial"/>
          <w:sz w:val="20"/>
          <w:szCs w:val="20"/>
          <w:lang w:eastAsia="en-US"/>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усиление контроля за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В случаях, предусмотренных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должности членов Совета директоров Центрального банка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spellStart"/>
      <w:r>
        <w:rPr>
          <w:rFonts w:ascii="Arial" w:eastAsiaTheme="minorHAnsi" w:hAnsi="Arial" w:cs="Arial"/>
          <w:sz w:val="20"/>
          <w:szCs w:val="20"/>
          <w:lang w:eastAsia="en-US"/>
        </w:rPr>
        <w:t>пп</w:t>
      </w:r>
      <w:proofErr w:type="spellEnd"/>
      <w:r>
        <w:rPr>
          <w:rFonts w:ascii="Arial" w:eastAsiaTheme="minorHAnsi" w:hAnsi="Arial" w:cs="Arial"/>
          <w:sz w:val="20"/>
          <w:szCs w:val="20"/>
          <w:lang w:eastAsia="en-US"/>
        </w:rPr>
        <w:t xml:space="preserve">. "и" введен Федеральным </w:t>
      </w:r>
      <w:hyperlink r:id="rId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4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4"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5"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3"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введен Федеральным </w:t>
      </w:r>
      <w:hyperlink r:id="rId5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5"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введен Федеральным </w:t>
      </w:r>
      <w:hyperlink r:id="rId5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7"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5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введен Федеральным </w:t>
      </w:r>
      <w:hyperlink r:id="rId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введен Федеральным </w:t>
      </w:r>
      <w:hyperlink r:id="rId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1.2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6"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6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w:t>
      </w:r>
      <w:proofErr w:type="spellStart"/>
      <w:r>
        <w:rPr>
          <w:rFonts w:ascii="Arial" w:eastAsiaTheme="minorHAnsi" w:hAnsi="Arial" w:cs="Arial"/>
          <w:sz w:val="20"/>
          <w:szCs w:val="20"/>
          <w:lang w:eastAsia="en-US"/>
        </w:rPr>
        <w:t>непоступления</w:t>
      </w:r>
      <w:proofErr w:type="spellEnd"/>
      <w:r>
        <w:rPr>
          <w:rFonts w:ascii="Arial" w:eastAsiaTheme="minorHAnsi" w:hAnsi="Arial" w:cs="Arial"/>
          <w:sz w:val="20"/>
          <w:szCs w:val="20"/>
          <w:lang w:eastAsia="en-US"/>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w:t>
      </w:r>
      <w:r>
        <w:rPr>
          <w:rFonts w:ascii="Arial" w:eastAsiaTheme="minorHAnsi" w:hAnsi="Arial" w:cs="Arial"/>
          <w:sz w:val="20"/>
          <w:szCs w:val="20"/>
          <w:lang w:eastAsia="en-US"/>
        </w:rPr>
        <w:lastRenderedPageBreak/>
        <w:t xml:space="preserve">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3"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5"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7"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Arial" w:eastAsiaTheme="minorHAnsi" w:hAnsi="Arial" w:cs="Arial"/>
          <w:sz w:val="20"/>
          <w:szCs w:val="20"/>
          <w:lang w:eastAsia="en-US"/>
        </w:rPr>
        <w:t>разыскной</w:t>
      </w:r>
      <w:proofErr w:type="spellEnd"/>
      <w:r>
        <w:rPr>
          <w:rFonts w:ascii="Arial" w:eastAsiaTheme="minorHAnsi" w:hAnsi="Arial" w:cs="Arial"/>
          <w:sz w:val="20"/>
          <w:szCs w:val="20"/>
          <w:lang w:eastAsia="en-US"/>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9"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1"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2"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3"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4"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5"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6"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8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Лица, замещающие (занимающие) должности, включенные в </w:t>
      </w:r>
      <w:hyperlink r:id="rId8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5"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7"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9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0"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w:t>
      </w:r>
      <w:r>
        <w:rPr>
          <w:rFonts w:ascii="Arial" w:eastAsiaTheme="minorHAnsi" w:hAnsi="Arial" w:cs="Arial"/>
          <w:sz w:val="20"/>
          <w:szCs w:val="20"/>
          <w:lang w:eastAsia="en-US"/>
        </w:rPr>
        <w:lastRenderedPageBreak/>
        <w:t>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В случае,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5"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6"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0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 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9"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0"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2"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3"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Гражданин, замещавший должность государственной или муниципальной службы, включенную в </w:t>
      </w:r>
      <w:hyperlink r:id="rId115"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0"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2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8) принимать вопреки установленному </w:t>
      </w:r>
      <w:hyperlink r:id="rId128"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3.1 введена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1"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3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13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4.3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4.4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4.5. 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2"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3"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4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4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(в ред. Федерального </w:t>
      </w:r>
      <w:hyperlink r:id="rId15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2"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3"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6"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7"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5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0"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1"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2 введена Федеральным </w:t>
      </w:r>
      <w:hyperlink r:id="rId16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3"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6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6"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8"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3"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(введена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Положения настоящей статьи распространяются на иностранные юридические лица в случаях, предусмотренных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0"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84B8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9C43CFC4E1D32F8A449F11C3BD1B12DEEA4EC735D410FKFs5K" TargetMode="External"/><Relationship Id="rId117" Type="http://schemas.openxmlformats.org/officeDocument/2006/relationships/hyperlink" Target="consultantplus://offline/ref=63F28000FED13716F2FC8910CDFEF2D762A9C43CFC4E1D32F8A449F11C3BD1B12DEEA4EC735D410AKFs7K" TargetMode="External"/><Relationship Id="rId21" Type="http://schemas.openxmlformats.org/officeDocument/2006/relationships/hyperlink" Target="consultantplus://offline/ref=63F28000FED13716F2FC8910CDFEF2D762A8C13EF54C1D32F8A449F11C3BD1B12DEEA4EC735D4508KFs7K" TargetMode="External"/><Relationship Id="rId42" Type="http://schemas.openxmlformats.org/officeDocument/2006/relationships/hyperlink" Target="consultantplus://offline/ref=63F28000FED13716F2FC8910CDFEF2D762ABC43AFA411D32F8A449F11C3BD1B12DEEA4EC735D4709KFs6K" TargetMode="External"/><Relationship Id="rId47" Type="http://schemas.openxmlformats.org/officeDocument/2006/relationships/hyperlink" Target="consultantplus://offline/ref=63F28000FED13716F2FC8910CDFEF2D762A9CC30FD4C1D32F8A449F11C3BD1B12DEEA4EC735D450AKFs7K" TargetMode="External"/><Relationship Id="rId63" Type="http://schemas.openxmlformats.org/officeDocument/2006/relationships/hyperlink" Target="consultantplus://offline/ref=63F28000FED13716F2FC8910CDFEF2D761AEC73DF5401D32F8A449F11C3BD1B12DEEA4EC735D450BKFsCK" TargetMode="External"/><Relationship Id="rId68" Type="http://schemas.openxmlformats.org/officeDocument/2006/relationships/hyperlink" Target="consultantplus://offline/ref=63F28000FED13716F2FC8910CDFEF2D761AEC73CFE401D32F8A449F11C3BD1B12DEEA4EC735D440BKFs4K" TargetMode="External"/><Relationship Id="rId84" Type="http://schemas.openxmlformats.org/officeDocument/2006/relationships/hyperlink" Target="consultantplus://offline/ref=63F28000FED13716F2FC8910CDFEF2D761AEC73CFE401D32F8A449F11C3BD1B12DEEA4EC735D440BKFs1K" TargetMode="External"/><Relationship Id="rId89" Type="http://schemas.openxmlformats.org/officeDocument/2006/relationships/hyperlink" Target="consultantplus://offline/ref=63F28000FED13716F2FC8910CDFEF2D761A1CD3AFA4D1D32F8A449F11C3BD1B12DEEA4EC735D450CKFs3K" TargetMode="External"/><Relationship Id="rId112" Type="http://schemas.openxmlformats.org/officeDocument/2006/relationships/hyperlink" Target="consultantplus://offline/ref=63F28000FED13716F2FC8910CDFEF2D761ACCD3AFF4C1D32F8A449F11CK3sBK" TargetMode="External"/><Relationship Id="rId133" Type="http://schemas.openxmlformats.org/officeDocument/2006/relationships/hyperlink" Target="consultantplus://offline/ref=63F28000FED13716F2FC8910CDFEF2D761A0C531F54F1D32F8A449F11CK3sBK" TargetMode="External"/><Relationship Id="rId138" Type="http://schemas.openxmlformats.org/officeDocument/2006/relationships/hyperlink" Target="consultantplus://offline/ref=63F28000FED13716F2FC8910CDFEF2D762A8C13EF54C1D32F8A449F11C3BD1B12DEEA4EC735D4507KFs7K" TargetMode="External"/><Relationship Id="rId154" Type="http://schemas.openxmlformats.org/officeDocument/2006/relationships/hyperlink" Target="consultantplus://offline/ref=63F28000FED13716F2FC8910CDFEF2D762ABC43CF44A1D32F8A449F11C3BD1B12DEEA4EC735D4409KFsDK" TargetMode="External"/><Relationship Id="rId159" Type="http://schemas.openxmlformats.org/officeDocument/2006/relationships/hyperlink" Target="consultantplus://offline/ref=63F28000FED13716F2FC8910CDFEF2D762A9C43CFC4E1D32F8A449F11C3BD1B12DEEA4EC735D4109KFs3K" TargetMode="External"/><Relationship Id="rId175" Type="http://schemas.openxmlformats.org/officeDocument/2006/relationships/hyperlink" Target="consultantplus://offline/ref=63F28000FED13716F2FC8910CDFEF2D761AEC73CF9481D32F8A449F11C3BD1B12DEEA4EC735D4408KFs2K" TargetMode="External"/><Relationship Id="rId170" Type="http://schemas.openxmlformats.org/officeDocument/2006/relationships/hyperlink" Target="consultantplus://offline/ref=63F28000FED13716F2FC8910CDFEF2D761AEC73CFE401D32F8A449F11C3BD1B12DEEA4EC735D4409KFs7K" TargetMode="External"/><Relationship Id="rId16" Type="http://schemas.openxmlformats.org/officeDocument/2006/relationships/hyperlink" Target="consultantplus://offline/ref=63F28000FED13716F2FC8910CDFEF2D761A1CD3AFF4E1D32F8A449F11C3BD1B12DEEA4EC735D450DKFs6K" TargetMode="External"/><Relationship Id="rId107" Type="http://schemas.openxmlformats.org/officeDocument/2006/relationships/hyperlink" Target="consultantplus://offline/ref=63F28000FED13716F2FC8910CDFEF2D762ABC43AFA411D32F8A449F11C3BD1B12DEEA4EC735D4706KFs0K" TargetMode="External"/><Relationship Id="rId11" Type="http://schemas.openxmlformats.org/officeDocument/2006/relationships/hyperlink" Target="consultantplus://offline/ref=63F28000FED13716F2FC8910CDFEF2D761AEC73CF9481D32F8A449F11C3BD1B12DEEA4EC735D440AKFsDK" TargetMode="External"/><Relationship Id="rId32" Type="http://schemas.openxmlformats.org/officeDocument/2006/relationships/hyperlink" Target="consultantplus://offline/ref=63F28000FED13716F2FC8910CDFEF2D761AEC73CFE401D32F8A449F11C3BD1B12DEEA4EC735D440AKFs0K" TargetMode="External"/><Relationship Id="rId37" Type="http://schemas.openxmlformats.org/officeDocument/2006/relationships/hyperlink" Target="consultantplus://offline/ref=63F28000FED13716F2FC8910CDFEF2D762A8C13EF54C1D32F8A449F11C3BD1B12DEEA4EC735D4508KFs0K" TargetMode="External"/><Relationship Id="rId53" Type="http://schemas.openxmlformats.org/officeDocument/2006/relationships/hyperlink" Target="consultantplus://offline/ref=63F28000FED13716F2FC8910CDFEF2D761ABCD30F54A1D32F8A449F11C3BD1B12DEEA4EC735D440FKFs1K" TargetMode="External"/><Relationship Id="rId58" Type="http://schemas.openxmlformats.org/officeDocument/2006/relationships/hyperlink" Target="consultantplus://offline/ref=63F28000FED13716F2FC8910CDFEF2D762ABC43AFA411D32F8A449F11C3BD1B12DEEA4EC735D4709KFs1K" TargetMode="External"/><Relationship Id="rId74" Type="http://schemas.openxmlformats.org/officeDocument/2006/relationships/hyperlink" Target="consultantplus://offline/ref=63F28000FED13716F2FC8910CDFEF2D761AEC73CFE401D32F8A449F11C3BD1B12DEEA4EC735D440BKFs6K" TargetMode="External"/><Relationship Id="rId79" Type="http://schemas.openxmlformats.org/officeDocument/2006/relationships/hyperlink" Target="consultantplus://offline/ref=63F28000FED13716F2FC8910CDFEF2D761AEC53EFE411D32F8A449F11C3BD1B12DEEA4EC735D450EKFsDK" TargetMode="External"/><Relationship Id="rId102" Type="http://schemas.openxmlformats.org/officeDocument/2006/relationships/hyperlink" Target="consultantplus://offline/ref=63F28000FED13716F2FC8910CDFEF2D761A1C330F44C1D32F8A449F11C3BD1B12DEEA4EC735D450BKFsDK" TargetMode="External"/><Relationship Id="rId123" Type="http://schemas.openxmlformats.org/officeDocument/2006/relationships/hyperlink" Target="consultantplus://offline/ref=63F28000FED13716F2FC8910CDFEF2D762AECD3BF54B1D32F8A449F11C3BD1B12DEEA4EC735D450DKFs1K" TargetMode="External"/><Relationship Id="rId128" Type="http://schemas.openxmlformats.org/officeDocument/2006/relationships/hyperlink" Target="consultantplus://offline/ref=63F28000FED13716F2FC8910CDFEF2D761A1C23BFE481D32F8A449F11C3BD1B12DEEA4EC735D450FKFsDK" TargetMode="External"/><Relationship Id="rId144" Type="http://schemas.openxmlformats.org/officeDocument/2006/relationships/hyperlink" Target="consultantplus://offline/ref=63F28000FED13716F2FC8910CDFEF2D762A9C43CFC4E1D32F8A449F11C3BD1B12DEEA4EC735D4108KFsCK" TargetMode="External"/><Relationship Id="rId149" Type="http://schemas.openxmlformats.org/officeDocument/2006/relationships/hyperlink" Target="consultantplus://offline/ref=63F28000FED13716F2FC8910CDFEF2D761AEC73CFE401D32F8A449F11C3BD1B12DEEA4EC735D4408KFs3K" TargetMode="External"/><Relationship Id="rId5" Type="http://schemas.openxmlformats.org/officeDocument/2006/relationships/webSettings" Target="webSettings.xml"/><Relationship Id="rId90" Type="http://schemas.openxmlformats.org/officeDocument/2006/relationships/hyperlink" Target="consultantplus://offline/ref=63F28000FED13716F2FC8910CDFEF2D762A8C13EF54C1D32F8A449F11C3BD1B12DEEA4EC735D4509KFs3K" TargetMode="External"/><Relationship Id="rId95" Type="http://schemas.openxmlformats.org/officeDocument/2006/relationships/hyperlink" Target="consultantplus://offline/ref=63F28000FED13716F2FC8910CDFEF2D761A1C639FE481D32F8A449F11C3BD1B12DEEA4EC735D450AKFsDK" TargetMode="External"/><Relationship Id="rId160" Type="http://schemas.openxmlformats.org/officeDocument/2006/relationships/hyperlink" Target="consultantplus://offline/ref=63F28000FED13716F2FC8910CDFEF2D761A0C630F44C1D32F8A449F11C3BD1B12DEEA4EC735D450EKFsCK" TargetMode="External"/><Relationship Id="rId165" Type="http://schemas.openxmlformats.org/officeDocument/2006/relationships/hyperlink" Target="consultantplus://offline/ref=63F28000FED13716F2FC8910CDFEF2D762A8CC39FE4A1D32F8A449F11C3BD1B12DEEA4EC735D450DKFs5K" TargetMode="External"/><Relationship Id="rId181" Type="http://schemas.openxmlformats.org/officeDocument/2006/relationships/fontTable" Target="fontTable.xml"/><Relationship Id="rId22" Type="http://schemas.openxmlformats.org/officeDocument/2006/relationships/hyperlink" Target="consultantplus://offline/ref=63F28000FED13716F2FC8910CDFEF2D762A9C43CFC4E1D32F8A449F11C3BD1B12DEEA4EC735D410EKFs0K" TargetMode="External"/><Relationship Id="rId27" Type="http://schemas.openxmlformats.org/officeDocument/2006/relationships/hyperlink" Target="consultantplus://offline/ref=63F28000FED13716F2FC8910CDFEF2D761AACD3CF5481D32F8A449F11CK3sBK" TargetMode="External"/><Relationship Id="rId43" Type="http://schemas.openxmlformats.org/officeDocument/2006/relationships/hyperlink" Target="consultantplus://offline/ref=63F28000FED13716F2FC8910CDFEF2D761A1CD3AFF4E1D32F8A449F11C3BD1B12DEEA4EC735D450DKFs1K" TargetMode="External"/><Relationship Id="rId48" Type="http://schemas.openxmlformats.org/officeDocument/2006/relationships/hyperlink" Target="consultantplus://offline/ref=63F28000FED13716F2FC8910CDFEF2D761AEC73DF5401D32F8A449F11C3BD1B12DEEA4EC735D450AKFsDK" TargetMode="External"/><Relationship Id="rId64" Type="http://schemas.openxmlformats.org/officeDocument/2006/relationships/hyperlink" Target="consultantplus://offline/ref=63F28000FED13716F2FC8910CDFEF2D762A8C13EF54C1D32F8A449F11C3BD1B12DEEA4EC735D4508KFs2K" TargetMode="External"/><Relationship Id="rId69" Type="http://schemas.openxmlformats.org/officeDocument/2006/relationships/hyperlink" Target="consultantplus://offline/ref=63F28000FED13716F2FC8910CDFEF2D762A8C13EF54C1D32F8A449F11C3BD1B12DEEA4EC735D4509KFs4K" TargetMode="External"/><Relationship Id="rId113" Type="http://schemas.openxmlformats.org/officeDocument/2006/relationships/hyperlink" Target="consultantplus://offline/ref=63F28000FED13716F2FC8910CDFEF2D762A8C239F94B1D32F8A449F11C3BD1B12DEEA4EC735D450EKFs5K" TargetMode="External"/><Relationship Id="rId118" Type="http://schemas.openxmlformats.org/officeDocument/2006/relationships/hyperlink" Target="consultantplus://offline/ref=63F28000FED13716F2FC8910CDFEF2D762A9C43CFC4E1D32F8A449F11C3BD1B12DEEA4EC735D410AKFs1K" TargetMode="External"/><Relationship Id="rId134" Type="http://schemas.openxmlformats.org/officeDocument/2006/relationships/hyperlink" Target="consultantplus://offline/ref=63F28000FED13716F2FC8910CDFEF2D761A1C330F44C1D32F8A449F11C3BD1B12DEEA4EC735D4509KFs0K" TargetMode="External"/><Relationship Id="rId139" Type="http://schemas.openxmlformats.org/officeDocument/2006/relationships/hyperlink" Target="consultantplus://offline/ref=63F28000FED13716F2FC8910CDFEF2D761A1CD3AFA4D1D32F8A449F11CK3sBK" TargetMode="External"/><Relationship Id="rId80" Type="http://schemas.openxmlformats.org/officeDocument/2006/relationships/hyperlink" Target="consultantplus://offline/ref=63F28000FED13716F2FC8910CDFEF2D761ADC539FA4C1D32F8A449F11C3BD1B12DEEA4EC735D450DKFs4K" TargetMode="External"/><Relationship Id="rId85" Type="http://schemas.openxmlformats.org/officeDocument/2006/relationships/hyperlink" Target="consultantplus://offline/ref=63F28000FED13716F2FC8910CDFEF2D761ADC539FA4C1D32F8A449F11C3BD1B12DEEA4EC735D450DKFs7K" TargetMode="External"/><Relationship Id="rId150" Type="http://schemas.openxmlformats.org/officeDocument/2006/relationships/hyperlink" Target="consultantplus://offline/ref=63F28000FED13716F2FC8910CDFEF2D762ABC43AFA411D32F8A449F11C3BD1B12DEEA4EC735D4706KFsCK" TargetMode="External"/><Relationship Id="rId155" Type="http://schemas.openxmlformats.org/officeDocument/2006/relationships/hyperlink" Target="consultantplus://offline/ref=63F28000FED13716F2FC8910CDFEF2D762ABC43CF44A1D32F8A449F11C3BD1B12DEEA4EC735D4D0CKFs4K" TargetMode="External"/><Relationship Id="rId171" Type="http://schemas.openxmlformats.org/officeDocument/2006/relationships/hyperlink" Target="consultantplus://offline/ref=63F28000FED13716F2FC8910CDFEF2D762ABC43AFA411D32F8A449F11C3BD1B12DEEA4EC735D4707KFs7K" TargetMode="External"/><Relationship Id="rId176" Type="http://schemas.openxmlformats.org/officeDocument/2006/relationships/hyperlink" Target="consultantplus://offline/ref=63F28000FED13716F2FC8910CDFEF2D761A1CD3AFF4E1D32F8A449F11C3BD1B12DEEA4EC735D450AKFs1K" TargetMode="External"/><Relationship Id="rId12" Type="http://schemas.openxmlformats.org/officeDocument/2006/relationships/hyperlink" Target="consultantplus://offline/ref=63F28000FED13716F2FC8910CDFEF2D761ACC73DFB4D1D32F8A449F11C3BD1B12DEEA4EC735D450EKFsCK" TargetMode="External"/><Relationship Id="rId17" Type="http://schemas.openxmlformats.org/officeDocument/2006/relationships/hyperlink" Target="consultantplus://offline/ref=63F28000FED13716F2FC8910CDFEF2D761A1CC3CFE4B1D32F8A449F11C3BD1B12DEEA4EC735D450CKFs6K" TargetMode="External"/><Relationship Id="rId33" Type="http://schemas.openxmlformats.org/officeDocument/2006/relationships/hyperlink" Target="consultantplus://offline/ref=63F28000FED13716F2FC8910CDFEF2D762A9C43CFC4E1D32F8A449F11C3BD1B12DEEA4EC735D410FKFs3K" TargetMode="External"/><Relationship Id="rId38" Type="http://schemas.openxmlformats.org/officeDocument/2006/relationships/hyperlink" Target="consultantplus://offline/ref=63F28000FED13716F2FC8910CDFEF2D762ABC43AFA411D32F8A449F11C3BD1B12DEEA4EC735D4709KFs5K" TargetMode="External"/><Relationship Id="rId59" Type="http://schemas.openxmlformats.org/officeDocument/2006/relationships/hyperlink" Target="consultantplus://offline/ref=63F28000FED13716F2FC8910CDFEF2D761ABCD30F54A1D32F8A449F11CK3sBK" TargetMode="External"/><Relationship Id="rId103" Type="http://schemas.openxmlformats.org/officeDocument/2006/relationships/hyperlink" Target="consultantplus://offline/ref=63F28000FED13716F2FC8910CDFEF2D762A8C13EF54C1D32F8A449F11C3BD1B12DEEA4EC735D4506KFs4K" TargetMode="External"/><Relationship Id="rId108" Type="http://schemas.openxmlformats.org/officeDocument/2006/relationships/hyperlink" Target="consultantplus://offline/ref=63F28000FED13716F2FC8910CDFEF2D762A9C43CFC4E1D32F8A449F11C3BD1B12DEEA4EC735D410DKFs2K" TargetMode="External"/><Relationship Id="rId124" Type="http://schemas.openxmlformats.org/officeDocument/2006/relationships/hyperlink" Target="consultantplus://offline/ref=63F28000FED13716F2FC8910CDFEF2D762A9C43CFC4E1D32F8A449F11C3BD1B12DEEA4EC735D410AKFsCK" TargetMode="External"/><Relationship Id="rId129" Type="http://schemas.openxmlformats.org/officeDocument/2006/relationships/hyperlink" Target="consultantplus://offline/ref=63F28000FED13716F2FC8910CDFEF2D769AACC31FD424038F0FD45F3K1sBK" TargetMode="External"/><Relationship Id="rId54" Type="http://schemas.openxmlformats.org/officeDocument/2006/relationships/hyperlink" Target="consultantplus://offline/ref=63F28000FED13716F2FC8910CDFEF2D761AEC73CFE401D32F8A449F11C3BD1B12DEEA4EC735D440AKFsCK" TargetMode="External"/><Relationship Id="rId70" Type="http://schemas.openxmlformats.org/officeDocument/2006/relationships/hyperlink" Target="consultantplus://offline/ref=63F28000FED13716F2FC8910CDFEF2D762A8C13EF54C1D32F8A449F11C3BD1B12DEEA4EC735D4509KFs6K" TargetMode="External"/><Relationship Id="rId75" Type="http://schemas.openxmlformats.org/officeDocument/2006/relationships/hyperlink" Target="consultantplus://offline/ref=63F28000FED13716F2FC8910CDFEF2D761A1CC3CFE4B1D32F8A449F11C3BD1B12DEEA4EC735D450CKFs7K" TargetMode="External"/><Relationship Id="rId91" Type="http://schemas.openxmlformats.org/officeDocument/2006/relationships/hyperlink" Target="consultantplus://offline/ref=63F28000FED13716F2FC8910CDFEF2D761A1CD3AFA4D1D32F8A449F11CK3sBK" TargetMode="External"/><Relationship Id="rId96" Type="http://schemas.openxmlformats.org/officeDocument/2006/relationships/hyperlink" Target="consultantplus://offline/ref=63F28000FED13716F2FC8910CDFEF2D762ABC43DF94D1D32F8A449F11CK3sBK" TargetMode="External"/><Relationship Id="rId140" Type="http://schemas.openxmlformats.org/officeDocument/2006/relationships/hyperlink" Target="consultantplus://offline/ref=63F28000FED13716F2FC8910CDFEF2D762A8C539F94F1D32F8A449F11CK3sBK" TargetMode="External"/><Relationship Id="rId145" Type="http://schemas.openxmlformats.org/officeDocument/2006/relationships/hyperlink" Target="consultantplus://offline/ref=63F28000FED13716F2FC8910CDFEF2D761A1C330F44C1D32F8A449F11C3BD1B12DEEA4EC735D4509KFsCK" TargetMode="External"/><Relationship Id="rId161" Type="http://schemas.openxmlformats.org/officeDocument/2006/relationships/hyperlink" Target="consultantplus://offline/ref=63F28000FED13716F2FC8910CDFEF2D762ABC43AFA411D32F8A449F11C3BD1B12DEEA4EC735D4707KFs4K" TargetMode="External"/><Relationship Id="rId166" Type="http://schemas.openxmlformats.org/officeDocument/2006/relationships/hyperlink" Target="consultantplus://offline/ref=63F28000FED13716F2FC8910CDFEF2D762A8CC3BFB4F1D32F8A449F11C3BD1B12DEEA4EC7BK5sCK"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 TargetMode="External"/><Relationship Id="rId23" Type="http://schemas.openxmlformats.org/officeDocument/2006/relationships/hyperlink" Target="consultantplus://offline/ref=63F28000FED13716F2FC8910CDFEF2D762A9C43CFC4E1D32F8A449F11C3BD1B12DEEA4EC735D410EKFsDK" TargetMode="External"/><Relationship Id="rId28" Type="http://schemas.openxmlformats.org/officeDocument/2006/relationships/hyperlink" Target="consultantplus://offline/ref=63F28000FED13716F2FC8910CDFEF2D761ACC63DF54E1D32F8A449F11CK3sBK" TargetMode="External"/><Relationship Id="rId49" Type="http://schemas.openxmlformats.org/officeDocument/2006/relationships/hyperlink" Target="consultantplus://offline/ref=63F28000FED13716F2FC8910CDFEF2D762ABC43AFA411D32F8A449F11C3BD1B12DEEA4EC735D4709KFs7K" TargetMode="External"/><Relationship Id="rId114" Type="http://schemas.openxmlformats.org/officeDocument/2006/relationships/hyperlink" Target="consultantplus://offline/ref=63F28000FED13716F2FC8910CDFEF2D762A9C43CFC4E1D32F8A449F11C3BD1B12DEEA4EC735D410AKFs4K" TargetMode="External"/><Relationship Id="rId119" Type="http://schemas.openxmlformats.org/officeDocument/2006/relationships/hyperlink" Target="consultantplus://offline/ref=63F28000FED13716F2FC8910CDFEF2D762A9C43CFC4E1D32F8A449F11C3BD1B12DEEA4EC735D410AKFs2K" TargetMode="External"/><Relationship Id="rId44" Type="http://schemas.openxmlformats.org/officeDocument/2006/relationships/hyperlink" Target="consultantplus://offline/ref=63F28000FED13716F2FC8910CDFEF2D761AEC73DF5401D32F8A449F11C3BD1B12DEEA4EC735D450AKFs3K" TargetMode="External"/><Relationship Id="rId60" Type="http://schemas.openxmlformats.org/officeDocument/2006/relationships/hyperlink" Target="consultantplus://offline/ref=63F28000FED13716F2FC8910CDFEF2D761ADC539FA4C1D32F8A449F11C3BD1B12DEEA4EC735D450CKFs1K" TargetMode="External"/><Relationship Id="rId65" Type="http://schemas.openxmlformats.org/officeDocument/2006/relationships/hyperlink" Target="consultantplus://offline/ref=63F28000FED13716F2FC8910CDFEF2D762A8C13EF54C1D32F8A449F11C3BD1B12DEEA4EC735D4508KFsCK" TargetMode="External"/><Relationship Id="rId81" Type="http://schemas.openxmlformats.org/officeDocument/2006/relationships/hyperlink" Target="consultantplus://offline/ref=63F28000FED13716F2FC8910CDFEF2D761AEC73CFE401D32F8A449F11C3BD1B12DEEA4EC735D440BKFs0K" TargetMode="External"/><Relationship Id="rId86" Type="http://schemas.openxmlformats.org/officeDocument/2006/relationships/hyperlink" Target="consultantplus://offline/ref=63F28000FED13716F2FC8910CDFEF2D762ABC43AFA411D32F8A449F11C3BD1B12DEEA4EC735D4709KFsDK" TargetMode="External"/><Relationship Id="rId130" Type="http://schemas.openxmlformats.org/officeDocument/2006/relationships/hyperlink" Target="consultantplus://offline/ref=63F28000FED13716F2FC8910CDFEF2D761A1CD3AFF4E1D32F8A449F11C3BD1B12DEEA4EC735D450AKFs4K" TargetMode="External"/><Relationship Id="rId135" Type="http://schemas.openxmlformats.org/officeDocument/2006/relationships/hyperlink" Target="consultantplus://offline/ref=63F28000FED13716F2FC8910CDFEF2D761A1CD3AFF4E1D32F8A449F11C3BD1B12DEEA4EC735D450AKFs7K" TargetMode="External"/><Relationship Id="rId151" Type="http://schemas.openxmlformats.org/officeDocument/2006/relationships/hyperlink" Target="consultantplus://offline/ref=63F28000FED13716F2FC8910CDFEF2D762A9C43CFC4E1D32F8A449F11C3BD1B12DEEA4EC735D4109KFs0K" TargetMode="External"/><Relationship Id="rId156" Type="http://schemas.openxmlformats.org/officeDocument/2006/relationships/hyperlink" Target="consultantplus://offline/ref=63F28000FED13716F2FC8910CDFEF2D762ABC43CF44A1D32F8A449F11C3BD1B12DEEA4E4K7sBK" TargetMode="External"/><Relationship Id="rId177" Type="http://schemas.openxmlformats.org/officeDocument/2006/relationships/hyperlink" Target="consultantplus://offline/ref=63F28000FED13716F2FC8910CDFEF2D761AFC731FC4A1D32F8A449F11C3BD1B12DEEA4EC7359460CKFs2K" TargetMode="External"/><Relationship Id="rId4" Type="http://schemas.openxmlformats.org/officeDocument/2006/relationships/settings" Target="settings.xml"/><Relationship Id="rId9" Type="http://schemas.openxmlformats.org/officeDocument/2006/relationships/hyperlink" Target="consultantplus://offline/ref=63F28000FED13716F2FC8910CDFEF2D761AEC73CFE401D32F8A449F11C3BD1B12DEEA4EC735D440AKFs7K" TargetMode="External"/><Relationship Id="rId172" Type="http://schemas.openxmlformats.org/officeDocument/2006/relationships/hyperlink" Target="consultantplus://offline/ref=63F28000FED13716F2FC8910CDFEF2D762A8CC39FE4A1D32F8A449F11C3BD1B12DEEA4EC735D450DKFs1K" TargetMode="External"/><Relationship Id="rId180" Type="http://schemas.openxmlformats.org/officeDocument/2006/relationships/hyperlink" Target="consultantplus://offline/ref=63F28000FED13716F2FC8910CDFEF2D762A8CC3BFB4F1D32F8A449F11C3BD1B12DEEA4EC7BK5s9K" TargetMode="External"/><Relationship Id="rId13" Type="http://schemas.openxmlformats.org/officeDocument/2006/relationships/hyperlink" Target="consultantplus://offline/ref=63F28000FED13716F2FC8910CDFEF2D762A8C23FFB4C1D32F8A449F11C3BD1B12DEEA4EC735D460DKFs0K" TargetMode="External"/><Relationship Id="rId18" Type="http://schemas.openxmlformats.org/officeDocument/2006/relationships/hyperlink" Target="consultantplus://offline/ref=63F28000FED13716F2FC8910CDFEF2D761A0C630F44C1D32F8A449F11C3BD1B12DEEA4EC735D450EKFsCK" TargetMode="External"/><Relationship Id="rId39" Type="http://schemas.openxmlformats.org/officeDocument/2006/relationships/hyperlink" Target="consultantplus://offline/ref=63F28000FED13716F2FC8910CDFEF2D761A1CD3AFF4E1D32F8A449F11C3BD1B12DEEA4EC735D450DKFs0K" TargetMode="External"/><Relationship Id="rId109" Type="http://schemas.openxmlformats.org/officeDocument/2006/relationships/hyperlink" Target="consultantplus://offline/ref=63F28000FED13716F2FC8910CDFEF2D761AEC73CFE401D32F8A449F11C3BD1B12DEEA4EC735D4408KFs0K" TargetMode="External"/><Relationship Id="rId34" Type="http://schemas.openxmlformats.org/officeDocument/2006/relationships/hyperlink" Target="consultantplus://offline/ref=63F28000FED13716F2FC8910CDFEF2D762A8C23FFB4C1D32F8A449F11C3BD1B12DEEA4EC735D460DKFs0K" TargetMode="External"/><Relationship Id="rId50" Type="http://schemas.openxmlformats.org/officeDocument/2006/relationships/hyperlink" Target="consultantplus://offline/ref=63F28000FED13716F2FC8910CDFEF2D761AEC73CFE401D32F8A449F11C3BD1B12DEEA4EC735D440AKFs2K" TargetMode="External"/><Relationship Id="rId55" Type="http://schemas.openxmlformats.org/officeDocument/2006/relationships/hyperlink" Target="consultantplus://offline/ref=63F28000FED13716F2FC8910CDFEF2D761ABCD30F54A1D32F8A449F11C3BD1B12DEEA4EC735D440AKFs2K" TargetMode="External"/><Relationship Id="rId76" Type="http://schemas.openxmlformats.org/officeDocument/2006/relationships/hyperlink" Target="consultantplus://offline/ref=63F28000FED13716F2FC8910CDFEF2D762ABC43AFA411D32F8A449F11C3BD1B12DEEA4EC735D4709KFs3K" TargetMode="External"/><Relationship Id="rId97" Type="http://schemas.openxmlformats.org/officeDocument/2006/relationships/hyperlink" Target="consultantplus://offline/ref=63F28000FED13716F2FC8910CDFEF2D761AEC73DF5401D32F8A449F11C3BD1B12DEEA4EC735D4508KFs4K" TargetMode="External"/><Relationship Id="rId104" Type="http://schemas.openxmlformats.org/officeDocument/2006/relationships/hyperlink" Target="consultantplus://offline/ref=63F28000FED13716F2FC8910CDFEF2D761A1C330F44C1D32F8A449F11C3BD1B12DEEA4EC735D4508KFs7K" TargetMode="External"/><Relationship Id="rId120" Type="http://schemas.openxmlformats.org/officeDocument/2006/relationships/hyperlink" Target="consultantplus://offline/ref=63F28000FED13716F2FC8910CDFEF2D761A9C73EF44A1D32F8A449F11C3BD1B12DEEA4EC735D450EKFs3K" TargetMode="External"/><Relationship Id="rId125" Type="http://schemas.openxmlformats.org/officeDocument/2006/relationships/hyperlink" Target="consultantplus://offline/ref=63F28000FED13716F2FC8910CDFEF2D762A9C43CFC4E1D32F8A449F11C3BD1B12DEEA4EC735D410BKFs4K" TargetMode="External"/><Relationship Id="rId141" Type="http://schemas.openxmlformats.org/officeDocument/2006/relationships/hyperlink" Target="consultantplus://offline/ref=63F28000FED13716F2FC8910CDFEF2D762A8C13EF54C1D32F8A449F11C3BD1B12DEEA4EC735D4507KFs1K" TargetMode="External"/><Relationship Id="rId146" Type="http://schemas.openxmlformats.org/officeDocument/2006/relationships/hyperlink" Target="consultantplus://offline/ref=63F28000FED13716F2FC8910CDFEF2D762A9C43CFC4E1D32F8A449F11C3BD1B12DEEA4EC735D4109KFs5K" TargetMode="External"/><Relationship Id="rId167" Type="http://schemas.openxmlformats.org/officeDocument/2006/relationships/hyperlink" Target="consultantplus://offline/ref=63F28000FED13716F2FC8910CDFEF2D762A8CC39FE4A1D32F8A449F11C3BD1B12DEEA4EC735D450DKFs0K" TargetMode="External"/><Relationship Id="rId7" Type="http://schemas.openxmlformats.org/officeDocument/2006/relationships/hyperlink" Target="consultantplus://offline/ref=63F28000FED13716F2FC8910CDFEF2D762A9C43DFC4D1D32F8A449F11C3BD1B12DEEA4EC735D460AKFs3K" TargetMode="External"/><Relationship Id="rId71" Type="http://schemas.openxmlformats.org/officeDocument/2006/relationships/hyperlink" Target="consultantplus://offline/ref=63F28000FED13716F2FC8910CDFEF2D762A8C13EF54C1D32F8A449F11C3BD1B12DEEA4EC735D4509KFs7K" TargetMode="External"/><Relationship Id="rId92" Type="http://schemas.openxmlformats.org/officeDocument/2006/relationships/hyperlink" Target="consultantplus://offline/ref=63F28000FED13716F2FC8910CDFEF2D762A8C13EF54C1D32F8A449F11C3BD1B12DEEA4EC735D4509KFsCK" TargetMode="External"/><Relationship Id="rId162" Type="http://schemas.openxmlformats.org/officeDocument/2006/relationships/hyperlink" Target="consultantplus://offline/ref=63F28000FED13716F2FC8910CDFEF2D761AEC73CFE401D32F8A449F11C3BD1B12DEEA4EC735D4409KFs5K" TargetMode="External"/><Relationship Id="rId2" Type="http://schemas.openxmlformats.org/officeDocument/2006/relationships/numbering" Target="numbering.xml"/><Relationship Id="rId29" Type="http://schemas.openxmlformats.org/officeDocument/2006/relationships/hyperlink" Target="consultantplus://offline/ref=63F28000FED13716F2FC8910CDFEF2D762A9C43CFC4E1D32F8A449F11C3BD1B12DEEA4EC735D410FKFs0K" TargetMode="External"/><Relationship Id="rId24" Type="http://schemas.openxmlformats.org/officeDocument/2006/relationships/hyperlink" Target="consultantplus://offline/ref=63F28000FED13716F2FC8910CDFEF2D762A1C23CF61F4A30A9F147KFs4K" TargetMode="External"/><Relationship Id="rId40" Type="http://schemas.openxmlformats.org/officeDocument/2006/relationships/hyperlink" Target="consultantplus://offline/ref=63F28000FED13716F2FC8910CDFEF2D761A1CC3BFB4F1D32F8A449F11CK3sBK" TargetMode="External"/><Relationship Id="rId45" Type="http://schemas.openxmlformats.org/officeDocument/2006/relationships/hyperlink" Target="consultantplus://offline/ref=63F28000FED13716F2FC8910CDFEF2D761A1CD3AFF4E1D32F8A449F11C3BD1B12DEEA4EC735D450DKFs3K" TargetMode="External"/><Relationship Id="rId66" Type="http://schemas.openxmlformats.org/officeDocument/2006/relationships/hyperlink" Target="consultantplus://offline/ref=63F28000FED13716F2FC8910CDFEF2D761ABCD30F54A1D32F8A449F11C3BD1B12DEEA4EC735D450FKFs6K" TargetMode="External"/><Relationship Id="rId87" Type="http://schemas.openxmlformats.org/officeDocument/2006/relationships/hyperlink" Target="consultantplus://offline/ref=63F28000FED13716F2FC8910CDFEF2D761AEC73CFE401D32F8A449F11C3BD1B12DEEA4EC735D440BKFs2K" TargetMode="External"/><Relationship Id="rId110" Type="http://schemas.openxmlformats.org/officeDocument/2006/relationships/hyperlink" Target="consultantplus://offline/ref=63F28000FED13716F2FC8910CDFEF2D761A1C330F44C1D32F8A449F11C3BD1B12DEEA4EC735D4509KFs6K" TargetMode="External"/><Relationship Id="rId115" Type="http://schemas.openxmlformats.org/officeDocument/2006/relationships/hyperlink" Target="consultantplus://offline/ref=63F28000FED13716F2FC8910CDFEF2D761A9C73EF44A1D32F8A449F11C3BD1B12DEEA4EC735D450EKFs3K" TargetMode="External"/><Relationship Id="rId131" Type="http://schemas.openxmlformats.org/officeDocument/2006/relationships/hyperlink" Target="consultantplus://offline/ref=63F28000FED13716F2FC8910CDFEF2D761AFC13EFC491D32F8A449F11C3BD1B12DEEA4EC735D450CKFs0K" TargetMode="External"/><Relationship Id="rId136" Type="http://schemas.openxmlformats.org/officeDocument/2006/relationships/hyperlink" Target="consultantplus://offline/ref=63F28000FED13716F2FC8910CDFEF2D762A8C13EF54C1D32F8A449F11C3BD1B12DEEA4EC735D4506KFsDK" TargetMode="External"/><Relationship Id="rId157" Type="http://schemas.openxmlformats.org/officeDocument/2006/relationships/hyperlink" Target="consultantplus://offline/ref=63F28000FED13716F2FC8910CDFEF2D761A1C330F44C1D32F8A449F11C3BD1B12DEEA4EC735D4506KFs4K" TargetMode="External"/><Relationship Id="rId178" Type="http://schemas.openxmlformats.org/officeDocument/2006/relationships/hyperlink" Target="consultantplus://offline/ref=63F28000FED13716F2FC8910CDFEF2D761AFC731FC4A1D32F8A449F11C3BD1B12DEEA4EC735D450BKFs3K" TargetMode="External"/><Relationship Id="rId61" Type="http://schemas.openxmlformats.org/officeDocument/2006/relationships/hyperlink" Target="consultantplus://offline/ref=63F28000FED13716F2FC8910CDFEF2D761ABCD30F54A1D32F8A449F11CK3sBK" TargetMode="External"/><Relationship Id="rId82" Type="http://schemas.openxmlformats.org/officeDocument/2006/relationships/hyperlink" Target="consultantplus://offline/ref=63F28000FED13716F2FC8910CDFEF2D761ADC539FA4C1D32F8A449F11C3BD1B12DEEA4EC735D450DKFs6K" TargetMode="External"/><Relationship Id="rId152" Type="http://schemas.openxmlformats.org/officeDocument/2006/relationships/hyperlink" Target="consultantplus://offline/ref=63F28000FED13716F2FC8910CDFEF2D762ABC43CF44A1D32F8A449F11C3BD1B12DEEA4EEK7s3K" TargetMode="External"/><Relationship Id="rId173" Type="http://schemas.openxmlformats.org/officeDocument/2006/relationships/hyperlink" Target="consultantplus://offline/ref=63F28000FED13716F2FC8910CDFEF2D762A8CC3BFB4F1D32F8A449F11C3BD1B12DEEA4EC7BK5sEK" TargetMode="External"/><Relationship Id="rId19" Type="http://schemas.openxmlformats.org/officeDocument/2006/relationships/hyperlink" Target="consultantplus://offline/ref=63F28000FED13716F2FC8910CDFEF2D762ABC43AFA411D32F8A449F11C3BD1B12DEEA4EC735D4708KFsCK" TargetMode="External"/><Relationship Id="rId14" Type="http://schemas.openxmlformats.org/officeDocument/2006/relationships/hyperlink" Target="consultantplus://offline/ref=63F28000FED13716F2FC8910CDFEF2D761AEC73DF5401D32F8A449F11C3BD1B12DEEA4EC735D450AKFs6K" TargetMode="External"/><Relationship Id="rId30" Type="http://schemas.openxmlformats.org/officeDocument/2006/relationships/hyperlink" Target="consultantplus://offline/ref=63F28000FED13716F2FC8910CDFEF2D761ABCD30F54A1D32F8A449F11CK3sBK" TargetMode="External"/><Relationship Id="rId35" Type="http://schemas.openxmlformats.org/officeDocument/2006/relationships/hyperlink" Target="consultantplus://offline/ref=63F28000FED13716F2FC8910CDFEF2D761AEC73CF9481D32F8A449F11C3BD1B12DEEA4EC735D440BKFs4K" TargetMode="External"/><Relationship Id="rId56" Type="http://schemas.openxmlformats.org/officeDocument/2006/relationships/hyperlink" Target="consultantplus://offline/ref=63F28000FED13716F2FC8910CDFEF2D761AEC73DF5401D32F8A449F11C3BD1B12DEEA4EC735D450BKFs0K" TargetMode="External"/><Relationship Id="rId77" Type="http://schemas.openxmlformats.org/officeDocument/2006/relationships/hyperlink" Target="consultantplus://offline/ref=63F28000FED13716F2FC8910CDFEF2D762AECD3BF54B1D32F8A449F11C3BD1B12DEEA4EC735D450DKFs1K" TargetMode="External"/><Relationship Id="rId100" Type="http://schemas.openxmlformats.org/officeDocument/2006/relationships/hyperlink" Target="consultantplus://offline/ref=63F28000FED13716F2FC8910CDFEF2D762A8C13EF54C1D32F8A449F11C3BD1B12DEEA4EC735D4509KFsDK" TargetMode="External"/><Relationship Id="rId105" Type="http://schemas.openxmlformats.org/officeDocument/2006/relationships/hyperlink" Target="consultantplus://offline/ref=63F28000FED13716F2FC8910CDFEF2D762A8C13CFB4A1D32F8A449F11C3BD1B12DEEA4EC735F460BKFs3K" TargetMode="External"/><Relationship Id="rId126" Type="http://schemas.openxmlformats.org/officeDocument/2006/relationships/hyperlink" Target="consultantplus://offline/ref=63F28000FED13716F2FC8910CDFEF2D761ACC73DFB4D1D32F8A449F11C3BD1B12DEEA4EC735D450EKFsCK" TargetMode="External"/><Relationship Id="rId147" Type="http://schemas.openxmlformats.org/officeDocument/2006/relationships/hyperlink" Target="consultantplus://offline/ref=63F28000FED13716F2FC8910CDFEF2D761A1C330F44C1D32F8A449F11C3BD1B12DEEA4EC735D4509KFsDK" TargetMode="External"/><Relationship Id="rId168" Type="http://schemas.openxmlformats.org/officeDocument/2006/relationships/hyperlink" Target="consultantplus://offline/ref=63F28000FED13716F2FC8910CDFEF2D762A8CC3BFB4F1D32F8A449F11C3BD1B12DEEA4EC7BK5sFK" TargetMode="External"/><Relationship Id="rId8" Type="http://schemas.openxmlformats.org/officeDocument/2006/relationships/hyperlink" Target="consultantplus://offline/ref=63F28000FED13716F2FC8910CDFEF2D762A9C43CFC4E1D32F8A449F11C3BD1B12DEEA4EC735D410EKFs6K" TargetMode="External"/><Relationship Id="rId51" Type="http://schemas.openxmlformats.org/officeDocument/2006/relationships/hyperlink" Target="consultantplus://offline/ref=63F28000FED13716F2FC8910CDFEF2D762A9C43CFC4E1D32F8A449F11C3BD1B12DEEA4EC735D410FKFsDK" TargetMode="External"/><Relationship Id="rId72" Type="http://schemas.openxmlformats.org/officeDocument/2006/relationships/hyperlink" Target="consultantplus://offline/ref=63F28000FED13716F2FC8910CDFEF2D761A1C639FE481D32F8A449F11C3BD1B12DEEA4EC735D450AKFsDK" TargetMode="External"/><Relationship Id="rId93" Type="http://schemas.openxmlformats.org/officeDocument/2006/relationships/hyperlink" Target="consultantplus://offline/ref=63F28000FED13716F2FC8910CDFEF2D762ABC43AFA411D32F8A449F11C3BD1B12DEEA4EC735D4706KFs5K" TargetMode="External"/><Relationship Id="rId98" Type="http://schemas.openxmlformats.org/officeDocument/2006/relationships/hyperlink" Target="consultantplus://offline/ref=63F28000FED13716F2FC8910CDFEF2D761A1C330F44C1D32F8A449F11C3BD1B12DEEA4EC735D450BKFsCK" TargetMode="External"/><Relationship Id="rId121" Type="http://schemas.openxmlformats.org/officeDocument/2006/relationships/hyperlink" Target="consultantplus://offline/ref=63F28000FED13716F2FC8910CDFEF2D762A9C638F44B1D32F8A449F11C3BD1B12DEEA4EC735D450EKFsDK" TargetMode="External"/><Relationship Id="rId142" Type="http://schemas.openxmlformats.org/officeDocument/2006/relationships/hyperlink" Target="consultantplus://offline/ref=63F28000FED13716F2FC8910CDFEF2D761A1C330F44C1D32F8A449F11C3BD1B12DEEA4EC735D4509KFs2K" TargetMode="External"/><Relationship Id="rId163" Type="http://schemas.openxmlformats.org/officeDocument/2006/relationships/hyperlink" Target="consultantplus://offline/ref=63F28000FED13716F2FC8910CDFEF2D762ABC530F54B1D32F8A449F11C3BD1B12DEEA4EC735D470EKFs0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BC530F54B1D32F8A449F11C3BD1B12DEEA4EC735E470EKFs3K" TargetMode="External"/><Relationship Id="rId46" Type="http://schemas.openxmlformats.org/officeDocument/2006/relationships/hyperlink" Target="consultantplus://offline/ref=63F28000FED13716F2FC8910CDFEF2D762A8C539F94F1D32F8A449F11C3BD1B12DEEA4KEsBK" TargetMode="External"/><Relationship Id="rId67" Type="http://schemas.openxmlformats.org/officeDocument/2006/relationships/hyperlink" Target="consultantplus://offline/ref=63F28000FED13716F2FC8910CDFEF2D761AEC031F5491D32F8A449F11C3BD1B12DEEA4EC735D450EKFs0K" TargetMode="External"/><Relationship Id="rId116" Type="http://schemas.openxmlformats.org/officeDocument/2006/relationships/hyperlink" Target="consultantplus://offline/ref=63F28000FED13716F2FC8910CDFEF2D762A9C43CFC4E1D32F8A449F11C3BD1B12DEEA4EC735D410AKFs5K" TargetMode="External"/><Relationship Id="rId137" Type="http://schemas.openxmlformats.org/officeDocument/2006/relationships/hyperlink" Target="consultantplus://offline/ref=63F28000FED13716F2FC8910CDFEF2D762A8C13EF54C1D32F8A449F11C3BD1B12DEEA4EC735D4507KFs5K" TargetMode="External"/><Relationship Id="rId158" Type="http://schemas.openxmlformats.org/officeDocument/2006/relationships/hyperlink" Target="consultantplus://offline/ref=63F28000FED13716F2FC8910CDFEF2D762ABC43AFA411D32F8A449F11C3BD1B12DEEA4EC735D4706KFsDK" TargetMode="External"/><Relationship Id="rId20" Type="http://schemas.openxmlformats.org/officeDocument/2006/relationships/hyperlink" Target="consultantplus://offline/ref=63F28000FED13716F2FC8910CDFEF2D762A9CC30FD4C1D32F8A449F11C3BD1B12DEEA4EC735D450AKFs7K" TargetMode="External"/><Relationship Id="rId41" Type="http://schemas.openxmlformats.org/officeDocument/2006/relationships/hyperlink" Target="consultantplus://offline/ref=63F28000FED13716F2FC8910CDFEF2D761AEC73DF5401D32F8A449F11C3BD1B12DEEA4EC735D450AKFs1K" TargetMode="External"/><Relationship Id="rId62" Type="http://schemas.openxmlformats.org/officeDocument/2006/relationships/hyperlink" Target="consultantplus://offline/ref=63F28000FED13716F2FC8910CDFEF2D761AEC73DF5401D32F8A449F11C3BD1B12DEEA4EC735D450BKFs2K" TargetMode="External"/><Relationship Id="rId83" Type="http://schemas.openxmlformats.org/officeDocument/2006/relationships/hyperlink" Target="consultantplus://offline/ref=63F28000FED13716F2FC8910CDFEF2D762ABC43AFA411D32F8A449F11C3BD1B12DEEA4EC735D4709KFsCK" TargetMode="External"/><Relationship Id="rId88" Type="http://schemas.openxmlformats.org/officeDocument/2006/relationships/hyperlink" Target="consultantplus://offline/ref=63F28000FED13716F2FC8910CDFEF2D761ABCD30F54A1D32F8A449F11CK3sBK" TargetMode="External"/><Relationship Id="rId111" Type="http://schemas.openxmlformats.org/officeDocument/2006/relationships/hyperlink" Target="consultantplus://offline/ref=63F28000FED13716F2FC8910CDFEF2D762ABC43AFA411D32F8A449F11C3BD1B12DEEA4EC735D4706KFs1K" TargetMode="External"/><Relationship Id="rId132" Type="http://schemas.openxmlformats.org/officeDocument/2006/relationships/hyperlink" Target="consultantplus://offline/ref=63F28000FED13716F2FC8910CDFEF2D761A1CD3AFF4E1D32F8A449F11C3BD1B12DEEA4EC735D450AKFs6K" TargetMode="External"/><Relationship Id="rId153" Type="http://schemas.openxmlformats.org/officeDocument/2006/relationships/hyperlink" Target="consultantplus://offline/ref=63F28000FED13716F2FC8910CDFEF2D762ABC43CF44A1D32F8A449F11C3BD1B12DEEA4EC735D440BKFs0K" TargetMode="External"/><Relationship Id="rId174" Type="http://schemas.openxmlformats.org/officeDocument/2006/relationships/hyperlink" Target="consultantplus://offline/ref=63F28000FED13716F2FC8910CDFEF2D761AEC73CFE401D32F8A449F11C3BD1B12DEEA4EC735D4409KFs2K" TargetMode="External"/><Relationship Id="rId179" Type="http://schemas.openxmlformats.org/officeDocument/2006/relationships/hyperlink" Target="consultantplus://offline/ref=63F28000FED13716F2FC8910CDFEF2D762A8CC39FE4A1D32F8A449F11C3BD1B12DEEA4EC735D450DKFs3K" TargetMode="External"/><Relationship Id="rId15" Type="http://schemas.openxmlformats.org/officeDocument/2006/relationships/hyperlink" Target="consultantplus://offline/ref=63F28000FED13716F2FC8910CDFEF2D761A1C330F44C1D32F8A449F11C3BD1B12DEEA4EC735D450BKFs3K" TargetMode="External"/><Relationship Id="rId36" Type="http://schemas.openxmlformats.org/officeDocument/2006/relationships/hyperlink" Target="consultantplus://offline/ref=63F28000FED13716F2FC8910CDFEF2D762A8C539F94F1D32F8A449F11CK3sBK" TargetMode="External"/><Relationship Id="rId57" Type="http://schemas.openxmlformats.org/officeDocument/2006/relationships/hyperlink" Target="consultantplus://offline/ref=63F28000FED13716F2FC8910CDFEF2D761ABCD30F54A1D32F8A449F11C3BD1B12DEEA4EC735D450FKFs6K" TargetMode="External"/><Relationship Id="rId106" Type="http://schemas.openxmlformats.org/officeDocument/2006/relationships/hyperlink" Target="consultantplus://offline/ref=63F28000FED13716F2FC8910CDFEF2D761AEC73CFE401D32F8A449F11C3BD1B12DEEA4EC735D4408KFs7K" TargetMode="External"/><Relationship Id="rId127" Type="http://schemas.openxmlformats.org/officeDocument/2006/relationships/hyperlink" Target="consultantplus://offline/ref=63F28000FED13716F2FC8910CDFEF2D762A8C13EF54C1D32F8A449F11C3BD1B12DEEA4EC735D4506KFs3K" TargetMode="External"/><Relationship Id="rId10" Type="http://schemas.openxmlformats.org/officeDocument/2006/relationships/hyperlink" Target="consultantplus://offline/ref=63F28000FED13716F2FC8910CDFEF2D761ADC539FA4C1D32F8A449F11C3BD1B12DEEA4EC735D450CKFs7K" TargetMode="External"/><Relationship Id="rId31" Type="http://schemas.openxmlformats.org/officeDocument/2006/relationships/hyperlink" Target="consultantplus://offline/ref=63F28000FED13716F2FC8910CDFEF2D762A9C43CFC4E1D32F8A449F11C3BD1B12DEEA4EC735D410FKFs2K" TargetMode="External"/><Relationship Id="rId52" Type="http://schemas.openxmlformats.org/officeDocument/2006/relationships/hyperlink" Target="consultantplus://offline/ref=63F28000FED13716F2FC8910CDFEF2D761AEC73DF5401D32F8A449F11C3BD1B12DEEA4EC735D450BKFs6K" TargetMode="External"/><Relationship Id="rId73" Type="http://schemas.openxmlformats.org/officeDocument/2006/relationships/hyperlink" Target="consultantplus://offline/ref=63F28000FED13716F2FC8910CDFEF2D761A0C130F8411D32F8A449F11CK3sBK" TargetMode="External"/><Relationship Id="rId78" Type="http://schemas.openxmlformats.org/officeDocument/2006/relationships/hyperlink" Target="consultantplus://offline/ref=63F28000FED13716F2FC8910CDFEF2D762A8C13EF54C1D32F8A449F11C3BD1B12DEEA4EC735D4509KFs0K" TargetMode="External"/><Relationship Id="rId94" Type="http://schemas.openxmlformats.org/officeDocument/2006/relationships/hyperlink" Target="consultantplus://offline/ref=63F28000FED13716F2FC8910CDFEF2D761A1CD3AFA4D1D32F8A449F11CK3sBK" TargetMode="External"/><Relationship Id="rId99" Type="http://schemas.openxmlformats.org/officeDocument/2006/relationships/hyperlink" Target="consultantplus://offline/ref=63F28000FED13716F2FC8910CDFEF2D762ABC43AFA411D32F8A449F11C3BD1B12DEEA4EC735D4706KFs6K" TargetMode="External"/><Relationship Id="rId101" Type="http://schemas.openxmlformats.org/officeDocument/2006/relationships/hyperlink" Target="consultantplus://offline/ref=63F28000FED13716F2FC8910CDFEF2D762A8CD31FC4D1D32F8A449F11C3BD1B12DEEA4EC735D450EKFs6K" TargetMode="External"/><Relationship Id="rId122" Type="http://schemas.openxmlformats.org/officeDocument/2006/relationships/hyperlink" Target="consultantplus://offline/ref=63F28000FED13716F2FC8910CDFEF2D762A9C43CFC4E1D32F8A449F11C3BD1B12DEEA4EC735D410AKFs3K" TargetMode="External"/><Relationship Id="rId143" Type="http://schemas.openxmlformats.org/officeDocument/2006/relationships/hyperlink" Target="consultantplus://offline/ref=63F28000FED13716F2FC8910CDFEF2D761A1CD3AFF4E1D32F8A449F11C3BD1B12DEEA4EC735D450AKFs0K" TargetMode="External"/><Relationship Id="rId148" Type="http://schemas.openxmlformats.org/officeDocument/2006/relationships/hyperlink" Target="consultantplus://offline/ref=63F28000FED13716F2FC8910CDFEF2D762ABC43AFA411D32F8A449F11C3BD1B12DEEA4EC735D4706KFs2K" TargetMode="External"/><Relationship Id="rId164" Type="http://schemas.openxmlformats.org/officeDocument/2006/relationships/hyperlink" Target="consultantplus://offline/ref=63F28000FED13716F2FC8910CDFEF2D762A9C43CFC4E1D32F8A449F11C3BD1B12DEEA4EC735D4106KFs4K" TargetMode="External"/><Relationship Id="rId169" Type="http://schemas.openxmlformats.org/officeDocument/2006/relationships/hyperlink" Target="consultantplus://offline/ref=63F28000FED13716F2FC8910CDFEF2D762ABC43AFA411D32F8A449F11C3BD1B12DEEA4EC735D4707KFs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2677-8FB1-4826-A87B-F5298024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User</cp:lastModifiedBy>
  <cp:revision>2</cp:revision>
  <cp:lastPrinted>2017-11-27T07:43:00Z</cp:lastPrinted>
  <dcterms:created xsi:type="dcterms:W3CDTF">2017-12-12T09:59:00Z</dcterms:created>
  <dcterms:modified xsi:type="dcterms:W3CDTF">2017-12-12T09:59:00Z</dcterms:modified>
</cp:coreProperties>
</file>